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9F63" w14:textId="0B350AF1" w:rsidR="00F518B4" w:rsidRPr="00F518B4" w:rsidRDefault="00F518B4" w:rsidP="008769D5">
      <w:pPr>
        <w:spacing w:after="0" w:line="276" w:lineRule="auto"/>
        <w:jc w:val="center"/>
        <w:rPr>
          <w:b/>
          <w:bCs/>
        </w:rPr>
      </w:pPr>
      <w:r w:rsidRPr="00F518B4">
        <w:rPr>
          <w:b/>
          <w:bCs/>
        </w:rPr>
        <w:t>Trustee of Trust Funds</w:t>
      </w:r>
    </w:p>
    <w:p w14:paraId="1570EAB2" w14:textId="0CF18862" w:rsidR="00F518B4" w:rsidRPr="00F518B4" w:rsidRDefault="00F518B4" w:rsidP="008769D5">
      <w:pPr>
        <w:spacing w:after="0" w:line="276" w:lineRule="auto"/>
        <w:jc w:val="center"/>
        <w:rPr>
          <w:b/>
          <w:bCs/>
        </w:rPr>
      </w:pPr>
      <w:r w:rsidRPr="00F518B4">
        <w:rPr>
          <w:b/>
          <w:bCs/>
        </w:rPr>
        <w:t>Town of Dublin, NH</w:t>
      </w:r>
    </w:p>
    <w:p w14:paraId="60364D42" w14:textId="21F6D819" w:rsidR="00F518B4" w:rsidRDefault="00FD70B5" w:rsidP="008769D5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April 13</w:t>
      </w:r>
      <w:r w:rsidR="003D2A35">
        <w:rPr>
          <w:b/>
          <w:bCs/>
        </w:rPr>
        <w:t>, 2021</w:t>
      </w:r>
    </w:p>
    <w:p w14:paraId="077C3C87" w14:textId="578C9C42" w:rsidR="00F518B4" w:rsidRDefault="008769D5" w:rsidP="008769D5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Minutes</w:t>
      </w:r>
    </w:p>
    <w:p w14:paraId="51C4B65A" w14:textId="02947B95" w:rsidR="00F518B4" w:rsidRDefault="00F518B4" w:rsidP="008769D5">
      <w:pPr>
        <w:rPr>
          <w:b/>
          <w:bCs/>
        </w:rPr>
      </w:pPr>
    </w:p>
    <w:p w14:paraId="1555B14A" w14:textId="37516339" w:rsidR="00F518B4" w:rsidRDefault="00F518B4" w:rsidP="00D53C6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Call to Orde</w:t>
      </w:r>
      <w:r w:rsidR="00FD70B5">
        <w:rPr>
          <w:b/>
          <w:bCs/>
        </w:rPr>
        <w:t>r</w:t>
      </w:r>
    </w:p>
    <w:p w14:paraId="485852B5" w14:textId="30492BAF" w:rsidR="00FD70B5" w:rsidRPr="00A67FFE" w:rsidRDefault="00FD70B5" w:rsidP="00FD70B5">
      <w:pPr>
        <w:pStyle w:val="ListParagraph"/>
        <w:numPr>
          <w:ilvl w:val="1"/>
          <w:numId w:val="2"/>
        </w:numPr>
        <w:spacing w:line="360" w:lineRule="auto"/>
      </w:pPr>
      <w:r w:rsidRPr="00A67FFE">
        <w:t>Present: F.W. MacMillan, C.F. Champagne, J Maclean</w:t>
      </w:r>
    </w:p>
    <w:p w14:paraId="021DAD79" w14:textId="0B054263" w:rsidR="00FD70B5" w:rsidRPr="00A67FFE" w:rsidRDefault="00FD70B5" w:rsidP="00FD70B5">
      <w:pPr>
        <w:pStyle w:val="ListParagraph"/>
        <w:numPr>
          <w:ilvl w:val="1"/>
          <w:numId w:val="2"/>
        </w:numPr>
        <w:spacing w:line="360" w:lineRule="auto"/>
      </w:pPr>
      <w:r w:rsidRPr="00A67FFE">
        <w:t>For Charter Trust: M. MacKenzie, B. Sanford</w:t>
      </w:r>
    </w:p>
    <w:p w14:paraId="082D252D" w14:textId="4F5B2E3A" w:rsidR="00F518B4" w:rsidRDefault="00F518B4" w:rsidP="00D53C6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Review and Approval of Minutes of </w:t>
      </w:r>
      <w:r w:rsidR="00FD70B5">
        <w:rPr>
          <w:b/>
          <w:bCs/>
        </w:rPr>
        <w:t>1/19/2021</w:t>
      </w:r>
    </w:p>
    <w:p w14:paraId="7809349E" w14:textId="769672D2" w:rsidR="00FD70B5" w:rsidRPr="00A67FFE" w:rsidRDefault="00FD70B5" w:rsidP="00FD70B5">
      <w:pPr>
        <w:pStyle w:val="ListParagraph"/>
        <w:numPr>
          <w:ilvl w:val="1"/>
          <w:numId w:val="2"/>
        </w:numPr>
        <w:spacing w:line="360" w:lineRule="auto"/>
      </w:pPr>
      <w:r w:rsidRPr="00A67FFE">
        <w:t>Moved: C Champagne; second- F.W. MacMillan: carried unanimously</w:t>
      </w:r>
    </w:p>
    <w:p w14:paraId="4BEBA029" w14:textId="21426F78" w:rsidR="00F518B4" w:rsidRDefault="00FD70B5" w:rsidP="00D53C6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Election of Officer(s)</w:t>
      </w:r>
    </w:p>
    <w:p w14:paraId="0CBB0BE3" w14:textId="10897C17" w:rsidR="00FD70B5" w:rsidRPr="00A67FFE" w:rsidRDefault="00FD70B5" w:rsidP="00FD70B5">
      <w:pPr>
        <w:pStyle w:val="ListParagraph"/>
        <w:spacing w:line="360" w:lineRule="auto"/>
        <w:ind w:left="1440"/>
      </w:pPr>
      <w:r w:rsidRPr="00A67FFE">
        <w:t xml:space="preserve">Nomination </w:t>
      </w:r>
      <w:proofErr w:type="gramStart"/>
      <w:r w:rsidRPr="00A67FFE">
        <w:t>of  F.W.</w:t>
      </w:r>
      <w:proofErr w:type="gramEnd"/>
      <w:r w:rsidRPr="00A67FFE">
        <w:t xml:space="preserve"> MacMillan (C. Champagne); 2</w:t>
      </w:r>
      <w:r w:rsidRPr="00A67FFE">
        <w:rPr>
          <w:vertAlign w:val="superscript"/>
        </w:rPr>
        <w:t>nd</w:t>
      </w:r>
      <w:r w:rsidRPr="00A67FFE">
        <w:t>: J Maclean; approved unanimously</w:t>
      </w:r>
    </w:p>
    <w:p w14:paraId="78C49FAE" w14:textId="056A37FB" w:rsidR="00FD70B5" w:rsidRDefault="00FD70B5" w:rsidP="00D53C6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Review of Scholarship Trust Funds</w:t>
      </w:r>
    </w:p>
    <w:p w14:paraId="56F23F72" w14:textId="7B63BA35" w:rsidR="00FD70B5" w:rsidRPr="00A67FFE" w:rsidRDefault="00FD70B5" w:rsidP="00176A6A">
      <w:pPr>
        <w:pStyle w:val="ListParagraph"/>
        <w:numPr>
          <w:ilvl w:val="1"/>
          <w:numId w:val="2"/>
        </w:numPr>
        <w:spacing w:line="276" w:lineRule="auto"/>
      </w:pPr>
      <w:r w:rsidRPr="00A67FFE">
        <w:t xml:space="preserve">F.W. MacMillan noted that original Trust documents establishing the “Public School” trust fund in 1817 by Rev. </w:t>
      </w:r>
      <w:r w:rsidR="008A0948" w:rsidRPr="00A67FFE">
        <w:t xml:space="preserve">Edward </w:t>
      </w:r>
      <w:r w:rsidRPr="00A67FFE">
        <w:t xml:space="preserve">Sprague, and the “Appleton Public School” fund by </w:t>
      </w:r>
      <w:r w:rsidR="008A0948" w:rsidRPr="00A67FFE">
        <w:t xml:space="preserve">Samuel Appleton (1852) </w:t>
      </w:r>
      <w:r w:rsidR="00EA0213" w:rsidRPr="00EA0213">
        <w:t>do not place any restrictions on the granting of scholarship funds to Dublin residents</w:t>
      </w:r>
      <w:r w:rsidR="00A67FFE" w:rsidRPr="00A67FFE">
        <w:t>.</w:t>
      </w:r>
    </w:p>
    <w:p w14:paraId="04F0578A" w14:textId="77777777" w:rsidR="00CA36FC" w:rsidRDefault="00A67FFE" w:rsidP="00176A6A">
      <w:pPr>
        <w:pStyle w:val="ListParagraph"/>
        <w:numPr>
          <w:ilvl w:val="1"/>
          <w:numId w:val="2"/>
        </w:numPr>
        <w:spacing w:line="276" w:lineRule="auto"/>
      </w:pPr>
      <w:r w:rsidRPr="00A67FFE">
        <w:t xml:space="preserve">Mr. MacMillan stated that while the intent of the trusts </w:t>
      </w:r>
      <w:proofErr w:type="gramStart"/>
      <w:r w:rsidRPr="00A67FFE">
        <w:t>do</w:t>
      </w:r>
      <w:proofErr w:type="gramEnd"/>
      <w:r w:rsidRPr="00A67FFE">
        <w:t xml:space="preserve"> not preclude children of private schools </w:t>
      </w:r>
      <w:r w:rsidRPr="00A67FFE">
        <w:tab/>
        <w:t>or residents for that matter, from applying for support the title of the trusts may lead to an erroneous interpretation that only children in the public school system are eligible.</w:t>
      </w:r>
      <w:r>
        <w:t xml:space="preserve">  Mr. Champagne stated that the chances of such misinterpretation to be minimal.  Mr. MacMillan volunteered to review the matter with the Attorney General Charitable Trust Division.  </w:t>
      </w:r>
    </w:p>
    <w:p w14:paraId="36553E46" w14:textId="027B5497" w:rsidR="00CA36FC" w:rsidRDefault="00CA36FC" w:rsidP="00176A6A">
      <w:pPr>
        <w:pStyle w:val="ListParagraph"/>
        <w:numPr>
          <w:ilvl w:val="1"/>
          <w:numId w:val="2"/>
        </w:numPr>
        <w:spacing w:line="276" w:lineRule="auto"/>
      </w:pPr>
      <w:r>
        <w:t>It was agreed t</w:t>
      </w:r>
      <w:r w:rsidR="00A67FFE">
        <w:t xml:space="preserve">he </w:t>
      </w:r>
      <w:r>
        <w:t>Scholarship application form, as drafted by the Scholarship Committee need not be changed for this year, but further clarified for next year</w:t>
      </w:r>
      <w:r w:rsidR="00176A6A">
        <w:t>.</w:t>
      </w:r>
    </w:p>
    <w:p w14:paraId="5068C393" w14:textId="77777777" w:rsidR="00176A6A" w:rsidRPr="00A67FFE" w:rsidRDefault="00176A6A" w:rsidP="00176A6A">
      <w:pPr>
        <w:spacing w:line="276" w:lineRule="auto"/>
        <w:ind w:left="1080"/>
      </w:pPr>
    </w:p>
    <w:p w14:paraId="34C6D6E9" w14:textId="1B6C940C" w:rsidR="00FD70B5" w:rsidRDefault="00BA3413" w:rsidP="00FD70B5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Economic </w:t>
      </w:r>
      <w:proofErr w:type="gramStart"/>
      <w:r>
        <w:rPr>
          <w:b/>
          <w:bCs/>
        </w:rPr>
        <w:t>Revi</w:t>
      </w:r>
      <w:r w:rsidR="003C3543">
        <w:rPr>
          <w:b/>
          <w:bCs/>
        </w:rPr>
        <w:t>e</w:t>
      </w:r>
      <w:r>
        <w:rPr>
          <w:b/>
          <w:bCs/>
        </w:rPr>
        <w:t>w :</w:t>
      </w:r>
      <w:proofErr w:type="gramEnd"/>
      <w:r>
        <w:rPr>
          <w:b/>
          <w:bCs/>
        </w:rPr>
        <w:t xml:space="preserve"> Charter Trust</w:t>
      </w:r>
    </w:p>
    <w:p w14:paraId="112BA19A" w14:textId="36D9C88B" w:rsidR="00446908" w:rsidRDefault="00446908" w:rsidP="00446908">
      <w:pPr>
        <w:pStyle w:val="ListParagraph"/>
        <w:numPr>
          <w:ilvl w:val="1"/>
          <w:numId w:val="5"/>
        </w:numPr>
        <w:spacing w:after="0" w:line="240" w:lineRule="auto"/>
      </w:pPr>
      <w:r>
        <w:t>Market performance</w:t>
      </w:r>
      <w:r w:rsidR="001F0E7F">
        <w:t xml:space="preserve"> continues to show impressive strength</w:t>
      </w:r>
    </w:p>
    <w:p w14:paraId="51E349F7" w14:textId="42324394" w:rsidR="00446908" w:rsidRDefault="001F0E7F" w:rsidP="00446908">
      <w:pPr>
        <w:pStyle w:val="ListParagraph"/>
        <w:numPr>
          <w:ilvl w:val="2"/>
          <w:numId w:val="5"/>
        </w:numPr>
        <w:spacing w:after="0" w:line="240" w:lineRule="auto"/>
      </w:pPr>
      <w:r>
        <w:t>Broad based participation</w:t>
      </w:r>
    </w:p>
    <w:p w14:paraId="17996B57" w14:textId="3462E95A" w:rsidR="00446908" w:rsidRDefault="001F0E7F" w:rsidP="00446908">
      <w:pPr>
        <w:pStyle w:val="ListParagraph"/>
        <w:numPr>
          <w:ilvl w:val="2"/>
          <w:numId w:val="5"/>
        </w:numPr>
        <w:spacing w:after="0" w:line="240" w:lineRule="auto"/>
      </w:pPr>
      <w:r>
        <w:t>Constructive outlook</w:t>
      </w:r>
    </w:p>
    <w:p w14:paraId="519EF697" w14:textId="2DFD042C" w:rsidR="001F0E7F" w:rsidRDefault="001F0E7F" w:rsidP="00446908">
      <w:pPr>
        <w:pStyle w:val="ListParagraph"/>
        <w:numPr>
          <w:ilvl w:val="2"/>
          <w:numId w:val="5"/>
        </w:numPr>
        <w:spacing w:after="0" w:line="240" w:lineRule="auto"/>
      </w:pPr>
      <w:r>
        <w:t>Unprecedented money stimulus</w:t>
      </w:r>
    </w:p>
    <w:p w14:paraId="17BC18E5" w14:textId="4B3526A5" w:rsidR="001F0E7F" w:rsidRDefault="001F0E7F" w:rsidP="001F0E7F">
      <w:pPr>
        <w:pStyle w:val="ListParagraph"/>
        <w:numPr>
          <w:ilvl w:val="2"/>
          <w:numId w:val="5"/>
        </w:numPr>
        <w:spacing w:after="0" w:line="240" w:lineRule="auto"/>
      </w:pPr>
      <w:r>
        <w:t>Fed interest rate policy to continue at near 0% into 2023</w:t>
      </w:r>
    </w:p>
    <w:p w14:paraId="73B79D94" w14:textId="77777777" w:rsidR="00446908" w:rsidRDefault="00446908" w:rsidP="00446908">
      <w:pPr>
        <w:pStyle w:val="ListParagraph"/>
        <w:numPr>
          <w:ilvl w:val="1"/>
          <w:numId w:val="5"/>
        </w:numPr>
        <w:spacing w:after="0" w:line="240" w:lineRule="auto"/>
      </w:pPr>
      <w:r>
        <w:t>Concerns</w:t>
      </w:r>
    </w:p>
    <w:p w14:paraId="47997C03" w14:textId="77777777" w:rsidR="001F0E7F" w:rsidRDefault="001F0E7F" w:rsidP="00446908">
      <w:pPr>
        <w:pStyle w:val="ListParagraph"/>
        <w:numPr>
          <w:ilvl w:val="2"/>
          <w:numId w:val="5"/>
        </w:numPr>
        <w:spacing w:after="0" w:line="240" w:lineRule="auto"/>
      </w:pPr>
      <w:r>
        <w:t>Speculation could pose risk</w:t>
      </w:r>
    </w:p>
    <w:p w14:paraId="3964E053" w14:textId="5CF44BC8" w:rsidR="00446908" w:rsidRDefault="001F0E7F" w:rsidP="00446908">
      <w:pPr>
        <w:pStyle w:val="ListParagraph"/>
        <w:numPr>
          <w:ilvl w:val="2"/>
          <w:numId w:val="5"/>
        </w:numPr>
        <w:spacing w:after="0" w:line="240" w:lineRule="auto"/>
      </w:pPr>
      <w:r>
        <w:t>Long term bond yields could rise mirroring inflation concerns</w:t>
      </w:r>
    </w:p>
    <w:p w14:paraId="6DFEB3CE" w14:textId="0AA3B4F7" w:rsidR="00446908" w:rsidRDefault="001F0E7F" w:rsidP="00446908">
      <w:pPr>
        <w:pStyle w:val="ListParagraph"/>
        <w:numPr>
          <w:ilvl w:val="2"/>
          <w:numId w:val="5"/>
        </w:numPr>
        <w:spacing w:after="0" w:line="240" w:lineRule="auto"/>
      </w:pPr>
      <w:r>
        <w:t>Global recovery could be a headwind for U.S. recovery</w:t>
      </w:r>
    </w:p>
    <w:p w14:paraId="6ED2BB0E" w14:textId="77777777" w:rsidR="00446908" w:rsidRDefault="00446908" w:rsidP="00446908">
      <w:pPr>
        <w:pStyle w:val="ListParagraph"/>
        <w:numPr>
          <w:ilvl w:val="1"/>
          <w:numId w:val="5"/>
        </w:numPr>
        <w:spacing w:after="0" w:line="240" w:lineRule="auto"/>
      </w:pPr>
      <w:r>
        <w:t>Impact of Federal Reserve monitoring inflation on a moving average basis, rather than a point-to-point basis: targeting a 2% inflation rate.</w:t>
      </w:r>
    </w:p>
    <w:p w14:paraId="255EE7FF" w14:textId="77777777" w:rsidR="00446908" w:rsidRDefault="00446908" w:rsidP="00446908">
      <w:pPr>
        <w:spacing w:after="0" w:line="240" w:lineRule="auto"/>
        <w:ind w:left="720"/>
      </w:pPr>
    </w:p>
    <w:p w14:paraId="44F6E84B" w14:textId="120FA190" w:rsidR="00446908" w:rsidRDefault="00446908" w:rsidP="00446908">
      <w:pPr>
        <w:spacing w:after="0" w:line="240" w:lineRule="auto"/>
        <w:ind w:left="720"/>
        <w:rPr>
          <w:b/>
          <w:bCs/>
          <w:u w:val="single"/>
        </w:rPr>
      </w:pPr>
      <w:r w:rsidRPr="00E75419">
        <w:rPr>
          <w:b/>
          <w:bCs/>
          <w:u w:val="single"/>
        </w:rPr>
        <w:lastRenderedPageBreak/>
        <w:t>Portfolio Review</w:t>
      </w:r>
    </w:p>
    <w:p w14:paraId="7CB5DABD" w14:textId="5FD41069" w:rsidR="00FB34A6" w:rsidRPr="00FB34A6" w:rsidRDefault="00FB34A6" w:rsidP="00446908">
      <w:pPr>
        <w:spacing w:after="0" w:line="240" w:lineRule="auto"/>
        <w:ind w:left="720"/>
      </w:pPr>
      <w:r w:rsidRPr="00FB34A6">
        <w:t>Balance 3/31/2021:</w:t>
      </w:r>
      <w:r w:rsidRPr="00FB34A6">
        <w:tab/>
        <w:t>$1,570,571</w:t>
      </w:r>
    </w:p>
    <w:p w14:paraId="4F3A6A19" w14:textId="77777777" w:rsidR="00446908" w:rsidRPr="00C85BF8" w:rsidRDefault="00446908" w:rsidP="00446908">
      <w:pPr>
        <w:pStyle w:val="ListParagraph"/>
        <w:numPr>
          <w:ilvl w:val="1"/>
          <w:numId w:val="5"/>
        </w:numPr>
        <w:spacing w:after="0" w:line="240" w:lineRule="auto"/>
      </w:pPr>
      <w:r>
        <w:tab/>
      </w:r>
      <w:r w:rsidRPr="00313E79">
        <w:rPr>
          <w:b/>
          <w:bCs/>
        </w:rPr>
        <w:t>Common funds</w:t>
      </w:r>
      <w:r>
        <w:tab/>
      </w:r>
      <w:r>
        <w:tab/>
      </w:r>
      <w:r>
        <w:tab/>
      </w:r>
      <w:r w:rsidRPr="00313E79">
        <w:rPr>
          <w:b/>
          <w:bCs/>
        </w:rPr>
        <w:t>Equities</w:t>
      </w:r>
      <w:r>
        <w:tab/>
      </w:r>
      <w:r w:rsidRPr="00313E79">
        <w:rPr>
          <w:b/>
          <w:bCs/>
        </w:rPr>
        <w:t>Fixed Income/Cash</w:t>
      </w:r>
      <w:r>
        <w:rPr>
          <w:b/>
          <w:bCs/>
        </w:rPr>
        <w:t xml:space="preserve">       total Funds</w:t>
      </w:r>
    </w:p>
    <w:p w14:paraId="0F052DA8" w14:textId="4C8187F1" w:rsidR="00446908" w:rsidRDefault="00446908" w:rsidP="00446908">
      <w:pPr>
        <w:spacing w:after="0" w:line="240" w:lineRule="auto"/>
      </w:pPr>
      <w:r>
        <w:t>.</w:t>
      </w:r>
      <w:r>
        <w:tab/>
      </w:r>
      <w:r>
        <w:tab/>
        <w:t xml:space="preserve">   Asset Allocation:    </w:t>
      </w:r>
      <w:r>
        <w:tab/>
      </w:r>
      <w:r>
        <w:tab/>
        <w:t xml:space="preserve">   54.</w:t>
      </w:r>
      <w:r w:rsidR="001F0E7F">
        <w:t>6</w:t>
      </w:r>
      <w:r>
        <w:t>%</w:t>
      </w:r>
      <w:r>
        <w:tab/>
        <w:t xml:space="preserve"> </w:t>
      </w:r>
      <w:r>
        <w:tab/>
        <w:t xml:space="preserve">               45.</w:t>
      </w:r>
      <w:r w:rsidR="001F0E7F">
        <w:t>4</w:t>
      </w:r>
      <w:r>
        <w:t>%</w:t>
      </w:r>
    </w:p>
    <w:p w14:paraId="54B54113" w14:textId="77777777" w:rsidR="00446908" w:rsidRDefault="00446908" w:rsidP="00446908">
      <w:pPr>
        <w:spacing w:after="0" w:line="240" w:lineRule="auto"/>
      </w:pPr>
      <w:r>
        <w:tab/>
      </w:r>
      <w:r>
        <w:tab/>
        <w:t xml:space="preserve">   Performance:</w:t>
      </w:r>
      <w:r>
        <w:tab/>
      </w:r>
    </w:p>
    <w:p w14:paraId="488E54D6" w14:textId="2526F9F1" w:rsidR="00446908" w:rsidRDefault="00446908" w:rsidP="00446908">
      <w:pPr>
        <w:spacing w:after="0" w:line="240" w:lineRule="auto"/>
      </w:pPr>
      <w:r>
        <w:tab/>
      </w:r>
      <w:r>
        <w:tab/>
      </w:r>
      <w:r>
        <w:tab/>
        <w:t xml:space="preserve">12 </w:t>
      </w:r>
      <w:proofErr w:type="gramStart"/>
      <w:r>
        <w:t>month</w:t>
      </w:r>
      <w:proofErr w:type="gramEnd"/>
      <w:r>
        <w:t xml:space="preserve"> return</w:t>
      </w:r>
      <w:r>
        <w:tab/>
        <w:t xml:space="preserve">   </w:t>
      </w:r>
      <w:r w:rsidR="00EA55D9">
        <w:t>52.29</w:t>
      </w:r>
      <w:r>
        <w:t>%</w:t>
      </w:r>
      <w:r>
        <w:tab/>
      </w:r>
      <w:r>
        <w:tab/>
        <w:t xml:space="preserve"> </w:t>
      </w:r>
      <w:r w:rsidR="00EA55D9">
        <w:t>5</w:t>
      </w:r>
      <w:r>
        <w:t>.5</w:t>
      </w:r>
      <w:r w:rsidR="00EA55D9">
        <w:t>5</w:t>
      </w:r>
      <w:r>
        <w:t>%</w:t>
      </w:r>
      <w:r>
        <w:tab/>
      </w:r>
      <w:r>
        <w:tab/>
      </w:r>
      <w:r w:rsidR="00EA55D9">
        <w:t>26.32</w:t>
      </w:r>
      <w:r>
        <w:t>%</w:t>
      </w:r>
    </w:p>
    <w:p w14:paraId="175974E7" w14:textId="096D8E29" w:rsidR="00446908" w:rsidRDefault="00446908" w:rsidP="00446908">
      <w:pPr>
        <w:spacing w:after="0" w:line="240" w:lineRule="auto"/>
      </w:pPr>
      <w:r>
        <w:tab/>
      </w:r>
      <w:r>
        <w:tab/>
      </w:r>
      <w:r>
        <w:tab/>
        <w:t xml:space="preserve"> Benchmark</w:t>
      </w:r>
      <w:r>
        <w:tab/>
      </w:r>
      <w:r>
        <w:tab/>
        <w:t xml:space="preserve">   </w:t>
      </w:r>
      <w:r w:rsidR="00EA55D9">
        <w:t>56.35</w:t>
      </w:r>
      <w:r>
        <w:t>%</w:t>
      </w:r>
      <w:r>
        <w:tab/>
      </w:r>
      <w:r>
        <w:tab/>
        <w:t xml:space="preserve"> </w:t>
      </w:r>
      <w:r w:rsidR="00EA55D9">
        <w:t>.71</w:t>
      </w:r>
      <w:r>
        <w:t>%</w:t>
      </w:r>
      <w:r>
        <w:tab/>
      </w:r>
      <w:r>
        <w:tab/>
      </w:r>
      <w:r w:rsidR="00EA55D9">
        <w:t xml:space="preserve">32.0 </w:t>
      </w:r>
      <w:r>
        <w:t>%</w:t>
      </w:r>
    </w:p>
    <w:p w14:paraId="5DE68F9E" w14:textId="77777777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5 year</w:t>
      </w:r>
      <w:proofErr w:type="gramEnd"/>
      <w:r>
        <w:t xml:space="preserve"> Total Funds Performance</w:t>
      </w:r>
    </w:p>
    <w:p w14:paraId="71208819" w14:textId="77777777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Beginning Market </w:t>
      </w:r>
      <w:proofErr w:type="gramStart"/>
      <w:r>
        <w:t>Value:`</w:t>
      </w:r>
      <w:proofErr w:type="gramEnd"/>
      <w:r>
        <w:tab/>
      </w:r>
      <w:r>
        <w:tab/>
        <w:t>$1,133,845</w:t>
      </w:r>
    </w:p>
    <w:p w14:paraId="08120FE9" w14:textId="19E23F29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Ending Market Value:</w:t>
      </w:r>
      <w:r>
        <w:tab/>
        <w:t xml:space="preserve"> </w:t>
      </w:r>
      <w:r>
        <w:tab/>
        <w:t>$1,5</w:t>
      </w:r>
      <w:r w:rsidR="00FE0FD4">
        <w:t>70,571</w:t>
      </w:r>
    </w:p>
    <w:p w14:paraId="37F9159E" w14:textId="1B4664DF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Total Return:</w:t>
      </w:r>
      <w:r>
        <w:tab/>
      </w:r>
      <w:r>
        <w:tab/>
      </w:r>
      <w:r>
        <w:tab/>
        <w:t>8.</w:t>
      </w:r>
      <w:r w:rsidR="00FE0FD4">
        <w:t>6</w:t>
      </w:r>
      <w:r>
        <w:t>6%</w:t>
      </w:r>
      <w:r>
        <w:tab/>
      </w:r>
    </w:p>
    <w:p w14:paraId="69BF1C2C" w14:textId="77777777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</w:pPr>
      <w:r>
        <w:t>Review of specific investments</w:t>
      </w:r>
    </w:p>
    <w:p w14:paraId="63A8B2A7" w14:textId="77777777" w:rsidR="00446908" w:rsidRDefault="00446908" w:rsidP="00446908">
      <w:pPr>
        <w:spacing w:after="0" w:line="240" w:lineRule="auto"/>
      </w:pPr>
    </w:p>
    <w:p w14:paraId="59DA955F" w14:textId="77777777" w:rsidR="00446908" w:rsidRDefault="00446908" w:rsidP="004469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Review of </w:t>
      </w:r>
      <w:r w:rsidRPr="00C43FC5">
        <w:rPr>
          <w:b/>
          <w:bCs/>
        </w:rPr>
        <w:t>Capital Reserve Funds</w:t>
      </w:r>
    </w:p>
    <w:p w14:paraId="31A13C26" w14:textId="565C2A42" w:rsidR="00446908" w:rsidRDefault="00446908" w:rsidP="00446908">
      <w:pPr>
        <w:spacing w:after="0" w:line="240" w:lineRule="auto"/>
      </w:pPr>
      <w:r>
        <w:t xml:space="preserve">   Balance 12/31/2020: $</w:t>
      </w:r>
      <w:r w:rsidR="00FB34A6">
        <w:t>934,341</w:t>
      </w:r>
      <w:r>
        <w:tab/>
      </w:r>
    </w:p>
    <w:p w14:paraId="118D4118" w14:textId="77777777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</w:pPr>
      <w:r>
        <w:t>Allocation:</w:t>
      </w:r>
    </w:p>
    <w:p w14:paraId="7306ED8A" w14:textId="0B325030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Fixed Income</w:t>
      </w:r>
      <w:r>
        <w:tab/>
        <w:t>7</w:t>
      </w:r>
      <w:r w:rsidR="00FB34A6">
        <w:t>5.8</w:t>
      </w:r>
      <w:r>
        <w:t>%</w:t>
      </w:r>
    </w:p>
    <w:p w14:paraId="6BD3AD55" w14:textId="4EDE7CE1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Cash</w:t>
      </w:r>
      <w:r>
        <w:tab/>
      </w:r>
      <w:r>
        <w:tab/>
        <w:t>2</w:t>
      </w:r>
      <w:r w:rsidR="00FB34A6">
        <w:t>4.2</w:t>
      </w:r>
      <w:r>
        <w:t>%</w:t>
      </w:r>
    </w:p>
    <w:p w14:paraId="32AD8CCB" w14:textId="77777777" w:rsidR="00446908" w:rsidRDefault="00446908" w:rsidP="00446908">
      <w:pPr>
        <w:spacing w:after="0" w:line="240" w:lineRule="auto"/>
      </w:pPr>
    </w:p>
    <w:p w14:paraId="46FF0569" w14:textId="77777777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</w:pPr>
      <w:r>
        <w:t>12-month Performance:</w:t>
      </w:r>
    </w:p>
    <w:p w14:paraId="407F79CA" w14:textId="1133E6F5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Total Fund</w:t>
      </w:r>
      <w:r>
        <w:tab/>
      </w:r>
      <w:r>
        <w:tab/>
      </w:r>
      <w:r w:rsidR="00605329">
        <w:t>(.</w:t>
      </w:r>
      <w:proofErr w:type="gramStart"/>
      <w:r w:rsidR="00605329">
        <w:t>15)</w:t>
      </w:r>
      <w:r>
        <w:t>%</w:t>
      </w:r>
      <w:proofErr w:type="gramEnd"/>
    </w:p>
    <w:p w14:paraId="757022C1" w14:textId="328B912E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Fixed Income</w:t>
      </w:r>
      <w:r>
        <w:tab/>
      </w:r>
      <w:r>
        <w:tab/>
      </w:r>
      <w:r w:rsidR="00605329">
        <w:t>(.</w:t>
      </w:r>
      <w:proofErr w:type="gramStart"/>
      <w:r w:rsidR="00605329">
        <w:t>25)</w:t>
      </w:r>
      <w:r>
        <w:t>%</w:t>
      </w:r>
      <w:proofErr w:type="gramEnd"/>
    </w:p>
    <w:p w14:paraId="69F2474A" w14:textId="12AAC4A4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Benchmark</w:t>
      </w:r>
      <w:r>
        <w:tab/>
      </w:r>
      <w:r>
        <w:tab/>
      </w:r>
      <w:r w:rsidR="00605329">
        <w:t xml:space="preserve">   .71</w:t>
      </w:r>
      <w:r>
        <w:t>%</w:t>
      </w:r>
    </w:p>
    <w:p w14:paraId="0EA5C16B" w14:textId="77777777" w:rsidR="00446908" w:rsidRDefault="00446908" w:rsidP="00446908">
      <w:pPr>
        <w:spacing w:after="0" w:line="240" w:lineRule="auto"/>
        <w:ind w:left="360"/>
      </w:pPr>
    </w:p>
    <w:p w14:paraId="07F9F00E" w14:textId="77777777" w:rsidR="00446908" w:rsidRPr="00C41D01" w:rsidRDefault="00446908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C41D01">
        <w:rPr>
          <w:b/>
          <w:bCs/>
        </w:rPr>
        <w:t>4</w:t>
      </w:r>
      <w:r>
        <w:rPr>
          <w:b/>
          <w:bCs/>
        </w:rPr>
        <w:t>-</w:t>
      </w:r>
      <w:r w:rsidRPr="00C41D01">
        <w:rPr>
          <w:b/>
          <w:bCs/>
        </w:rPr>
        <w:t>year Performance</w:t>
      </w:r>
    </w:p>
    <w:p w14:paraId="1A7AF5D2" w14:textId="77777777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 w:rsidRPr="00C41D01">
        <w:t>Beginning Balance</w:t>
      </w:r>
      <w:r w:rsidRPr="00C41D01">
        <w:tab/>
        <w:t>$0</w:t>
      </w:r>
    </w:p>
    <w:p w14:paraId="7A353D9F" w14:textId="4EAE56A7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Ending Balance</w:t>
      </w:r>
      <w:r>
        <w:tab/>
        <w:t>$</w:t>
      </w:r>
      <w:r w:rsidR="00605329">
        <w:t>934,341</w:t>
      </w:r>
    </w:p>
    <w:p w14:paraId="6789EFC6" w14:textId="0D707C10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Total Return</w:t>
      </w:r>
      <w:r>
        <w:tab/>
        <w:t>2.</w:t>
      </w:r>
      <w:r w:rsidR="00605329">
        <w:t>2</w:t>
      </w:r>
      <w:r>
        <w:t>%</w:t>
      </w:r>
    </w:p>
    <w:p w14:paraId="31C0783D" w14:textId="77777777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</w:pPr>
      <w:r>
        <w:t>Review of specific investments</w:t>
      </w:r>
    </w:p>
    <w:p w14:paraId="2F7847F5" w14:textId="77777777" w:rsidR="00176A6A" w:rsidRPr="00176A6A" w:rsidRDefault="00176A6A" w:rsidP="00176A6A">
      <w:pPr>
        <w:spacing w:line="360" w:lineRule="auto"/>
        <w:ind w:left="360"/>
        <w:rPr>
          <w:b/>
          <w:bCs/>
        </w:rPr>
      </w:pPr>
    </w:p>
    <w:p w14:paraId="5B86F9AC" w14:textId="7ECEDACD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Old Business</w:t>
      </w:r>
    </w:p>
    <w:p w14:paraId="60ACEC2C" w14:textId="2D11426E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New Business</w:t>
      </w:r>
    </w:p>
    <w:p w14:paraId="0A2E3A99" w14:textId="2F543ADE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Next Meeting</w:t>
      </w:r>
    </w:p>
    <w:p w14:paraId="4D63344F" w14:textId="069C05D0" w:rsidR="00605329" w:rsidRPr="00605329" w:rsidRDefault="00605329" w:rsidP="00605329">
      <w:pPr>
        <w:pStyle w:val="ListParagraph"/>
        <w:numPr>
          <w:ilvl w:val="1"/>
          <w:numId w:val="2"/>
        </w:numPr>
        <w:spacing w:line="360" w:lineRule="auto"/>
      </w:pPr>
      <w:r w:rsidRPr="00605329">
        <w:t>July 13,2021   10:00 a.m. EDT</w:t>
      </w:r>
    </w:p>
    <w:p w14:paraId="0656D37C" w14:textId="32EC3314" w:rsidR="00BA3413" w:rsidRDefault="00BA3413" w:rsidP="00BA3413">
      <w:pPr>
        <w:spacing w:line="360" w:lineRule="auto"/>
        <w:rPr>
          <w:b/>
          <w:bCs/>
        </w:rPr>
      </w:pPr>
    </w:p>
    <w:p w14:paraId="2A705B29" w14:textId="77777777" w:rsidR="00BA3413" w:rsidRPr="00BA3413" w:rsidRDefault="00BA3413" w:rsidP="00BA3413">
      <w:pPr>
        <w:rPr>
          <w:b/>
          <w:bCs/>
        </w:rPr>
      </w:pPr>
    </w:p>
    <w:sectPr w:rsidR="00BA3413" w:rsidRPr="00BA3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532C" w14:textId="77777777" w:rsidR="00847F16" w:rsidRDefault="00847F16" w:rsidP="007F3A9D">
      <w:pPr>
        <w:spacing w:after="0" w:line="240" w:lineRule="auto"/>
      </w:pPr>
      <w:r>
        <w:separator/>
      </w:r>
    </w:p>
  </w:endnote>
  <w:endnote w:type="continuationSeparator" w:id="0">
    <w:p w14:paraId="6A4ABBFB" w14:textId="77777777" w:rsidR="00847F16" w:rsidRDefault="00847F16" w:rsidP="007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D758" w14:textId="77777777" w:rsidR="007F3A9D" w:rsidRDefault="007F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A782" w14:textId="77777777" w:rsidR="007F3A9D" w:rsidRDefault="007F3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D835" w14:textId="77777777" w:rsidR="007F3A9D" w:rsidRDefault="007F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DAE4" w14:textId="77777777" w:rsidR="00847F16" w:rsidRDefault="00847F16" w:rsidP="007F3A9D">
      <w:pPr>
        <w:spacing w:after="0" w:line="240" w:lineRule="auto"/>
      </w:pPr>
      <w:r>
        <w:separator/>
      </w:r>
    </w:p>
  </w:footnote>
  <w:footnote w:type="continuationSeparator" w:id="0">
    <w:p w14:paraId="42C6724F" w14:textId="77777777" w:rsidR="00847F16" w:rsidRDefault="00847F16" w:rsidP="007F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3A8A" w14:textId="77777777" w:rsidR="007F3A9D" w:rsidRDefault="007F3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D751" w14:textId="184765B3" w:rsidR="007F3A9D" w:rsidRDefault="007F3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D0EA" w14:textId="77777777" w:rsidR="007F3A9D" w:rsidRDefault="007F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74E"/>
    <w:multiLevelType w:val="hybridMultilevel"/>
    <w:tmpl w:val="F1085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D21"/>
    <w:multiLevelType w:val="hybridMultilevel"/>
    <w:tmpl w:val="ABD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87B"/>
    <w:multiLevelType w:val="hybridMultilevel"/>
    <w:tmpl w:val="D0A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324C"/>
    <w:multiLevelType w:val="hybridMultilevel"/>
    <w:tmpl w:val="E13E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42CD"/>
    <w:multiLevelType w:val="hybridMultilevel"/>
    <w:tmpl w:val="A81EF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4E49A3"/>
    <w:multiLevelType w:val="hybridMultilevel"/>
    <w:tmpl w:val="509C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B4"/>
    <w:rsid w:val="000059BE"/>
    <w:rsid w:val="00176A6A"/>
    <w:rsid w:val="001F0E7F"/>
    <w:rsid w:val="002354E7"/>
    <w:rsid w:val="0024494F"/>
    <w:rsid w:val="003C3543"/>
    <w:rsid w:val="003D2A35"/>
    <w:rsid w:val="00446908"/>
    <w:rsid w:val="00605329"/>
    <w:rsid w:val="007F3A9D"/>
    <w:rsid w:val="00847F16"/>
    <w:rsid w:val="008769D5"/>
    <w:rsid w:val="008A0948"/>
    <w:rsid w:val="008C4F82"/>
    <w:rsid w:val="00912CA2"/>
    <w:rsid w:val="00A67FFE"/>
    <w:rsid w:val="00BA3413"/>
    <w:rsid w:val="00CA36FC"/>
    <w:rsid w:val="00D53C6C"/>
    <w:rsid w:val="00D65691"/>
    <w:rsid w:val="00DF0476"/>
    <w:rsid w:val="00E215C2"/>
    <w:rsid w:val="00EA0213"/>
    <w:rsid w:val="00EA55D9"/>
    <w:rsid w:val="00ED7A1F"/>
    <w:rsid w:val="00F518B4"/>
    <w:rsid w:val="00FB34A6"/>
    <w:rsid w:val="00FD70B5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2E89F"/>
  <w15:chartTrackingRefBased/>
  <w15:docId w15:val="{F5ECE865-4DA3-4CD1-BE35-A13EA3F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D"/>
  </w:style>
  <w:style w:type="paragraph" w:styleId="Footer">
    <w:name w:val="footer"/>
    <w:basedOn w:val="Normal"/>
    <w:link w:val="FooterChar"/>
    <w:uiPriority w:val="99"/>
    <w:unhideWhenUsed/>
    <w:rsid w:val="007F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MacMillan</dc:creator>
  <cp:keywords/>
  <dc:description/>
  <cp:lastModifiedBy>Frederick MacMillan</cp:lastModifiedBy>
  <cp:revision>15</cp:revision>
  <dcterms:created xsi:type="dcterms:W3CDTF">2021-04-21T14:10:00Z</dcterms:created>
  <dcterms:modified xsi:type="dcterms:W3CDTF">2021-07-16T15:26:00Z</dcterms:modified>
</cp:coreProperties>
</file>